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C5" w:rsidRPr="00951CFA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837"/>
        <w:gridCol w:w="1858"/>
        <w:gridCol w:w="363"/>
        <w:gridCol w:w="3449"/>
        <w:gridCol w:w="153"/>
      </w:tblGrid>
      <w:tr w:rsidR="000B6001" w:rsidTr="00FE466A">
        <w:tc>
          <w:tcPr>
            <w:tcW w:w="10080" w:type="dxa"/>
            <w:gridSpan w:val="6"/>
          </w:tcPr>
          <w:p w:rsidR="000B6001" w:rsidRPr="00AA5CF6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C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c>
          <w:tcPr>
            <w:tcW w:w="3420" w:type="dxa"/>
          </w:tcPr>
          <w:p w:rsidR="000B6001" w:rsidRPr="00CA2F5B" w:rsidRDefault="000B6001" w:rsidP="004579E5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3"/>
          </w:tcPr>
          <w:p w:rsidR="000B6001" w:rsidRPr="00CA2F5B" w:rsidRDefault="00C747C0" w:rsidP="00D7149B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="000037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2" w:type="dxa"/>
            <w:gridSpan w:val="2"/>
          </w:tcPr>
          <w:p w:rsidR="000B6001" w:rsidRPr="00CA2F5B" w:rsidRDefault="00D7149B" w:rsidP="00D7149B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 марта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747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c>
          <w:tcPr>
            <w:tcW w:w="10080" w:type="dxa"/>
            <w:gridSpan w:val="6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rPr>
          <w:trHeight w:val="634"/>
        </w:trPr>
        <w:tc>
          <w:tcPr>
            <w:tcW w:w="6115" w:type="dxa"/>
            <w:gridSpan w:val="3"/>
          </w:tcPr>
          <w:p w:rsidR="00645A2E" w:rsidRPr="00645A2E" w:rsidRDefault="00D7149B" w:rsidP="00645A2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 внесении изменений в Постановление № 49/1 от 26.08.2025 «</w:t>
            </w:r>
            <w:r w:rsidR="00645A2E"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 утверждении Перечня и кодов</w:t>
            </w:r>
          </w:p>
          <w:p w:rsidR="00645A2E" w:rsidRPr="00645A2E" w:rsidRDefault="00645A2E" w:rsidP="00645A2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целевых статей классификации расходов бюджета</w:t>
            </w:r>
          </w:p>
          <w:p w:rsidR="00C747C0" w:rsidRDefault="00645A2E" w:rsidP="00C747C0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:rsidR="00645A2E" w:rsidRPr="00645A2E" w:rsidRDefault="00C747C0" w:rsidP="00C747C0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города федерального значения </w:t>
            </w:r>
            <w:r w:rsidR="00645A2E"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Санкт-Петербурга</w:t>
            </w:r>
            <w:r w:rsid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45A2E"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муниципальный округ Васильевский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 01.01.2026</w:t>
            </w:r>
            <w:r w:rsidR="00645A2E" w:rsidRPr="00645A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года</w:t>
            </w:r>
            <w:r w:rsidR="00D7149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0B6001" w:rsidRPr="002F17CD" w:rsidRDefault="000B6001" w:rsidP="004579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gridSpan w:val="3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412F45" w:rsidRDefault="000B6001" w:rsidP="004579E5">
            <w:pPr>
              <w:pStyle w:val="a5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412F45" w:rsidRDefault="000B6001" w:rsidP="004579E5">
            <w:pPr>
              <w:pStyle w:val="a5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645A2E" w:rsidRPr="00645A2E" w:rsidRDefault="00645A2E" w:rsidP="00645A2E">
            <w:pPr>
              <w:ind w:firstLine="7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Руководствуясь Бюджетным кодексом Российской Федерации, на основании Устава внутригородского муниципального образования </w:t>
            </w:r>
            <w:r w:rsidR="000108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города федерального значения </w:t>
            </w:r>
            <w:r w:rsidRPr="00645A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Санкт-Петербурга муниципальный округ Васильевский, Местная администрация МО Васильевский</w:t>
            </w:r>
          </w:p>
          <w:p w:rsidR="000B6001" w:rsidRPr="00412F45" w:rsidRDefault="000B6001" w:rsidP="004579E5">
            <w:pPr>
              <w:pStyle w:val="a5"/>
              <w:ind w:firstLine="708"/>
              <w:jc w:val="both"/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Default="000B6001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Default="000B6001" w:rsidP="004579E5">
            <w:pPr>
              <w:pStyle w:val="a5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645A2E" w:rsidRPr="00645A2E" w:rsidRDefault="00447375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перечень </w:t>
            </w:r>
            <w:bookmarkStart w:id="0" w:name="_GoBack"/>
            <w:bookmarkEnd w:id="0"/>
            <w:r w:rsidR="00010871">
              <w:rPr>
                <w:rFonts w:ascii="Times New Roman" w:hAnsi="Times New Roman" w:cs="Times New Roman"/>
                <w:sz w:val="24"/>
                <w:szCs w:val="24"/>
              </w:rPr>
              <w:t>кодов</w:t>
            </w:r>
            <w:r w:rsidR="00645A2E"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целевых статей классификации расходов бюджета внутригородского муниципального образования Санкт-Петербурга муниципальный округ Васильевский</w:t>
            </w:r>
            <w:r w:rsidR="00010871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Местной администрацией   №49/1 от 26.08.2025 года</w:t>
            </w:r>
            <w:r w:rsidR="00645A2E" w:rsidRPr="0064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A2E" w:rsidRPr="00645A2E" w:rsidRDefault="00645A2E" w:rsidP="00645A2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настоящее постановление на официальном сайте </w:t>
            </w:r>
            <w:r w:rsidR="001250B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Васильевский в информационно-телекоммуникационной сети «Интернет»: www.msmov.spb.ru.</w:t>
            </w:r>
          </w:p>
          <w:p w:rsidR="000B6001" w:rsidRPr="00645A2E" w:rsidRDefault="00645A2E" w:rsidP="00645A2E">
            <w:pPr>
              <w:numPr>
                <w:ilvl w:val="0"/>
                <w:numId w:val="2"/>
              </w:numPr>
              <w:tabs>
                <w:tab w:val="num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6001" w:rsidRPr="00645A2E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постановление вступает в силу с </w:t>
            </w:r>
            <w:r w:rsidR="00D7149B">
              <w:rPr>
                <w:rFonts w:ascii="Times New Roman" w:hAnsi="Times New Roman" w:cs="Times New Roman"/>
                <w:sz w:val="24"/>
                <w:szCs w:val="24"/>
              </w:rPr>
              <w:t>01.04.2026 года</w:t>
            </w:r>
            <w:r w:rsidR="000B6001" w:rsidRPr="0064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001" w:rsidRPr="001321D4" w:rsidRDefault="000B6001" w:rsidP="00645A2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FC0F17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 оставляю за собой.</w:t>
            </w: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trHeight w:val="80"/>
        </w:trPr>
        <w:tc>
          <w:tcPr>
            <w:tcW w:w="10080" w:type="dxa"/>
            <w:gridSpan w:val="6"/>
          </w:tcPr>
          <w:p w:rsidR="000B6001" w:rsidRPr="001321D4" w:rsidRDefault="000B600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FE466A">
        <w:trPr>
          <w:gridAfter w:val="1"/>
          <w:wAfter w:w="153" w:type="dxa"/>
        </w:trPr>
        <w:tc>
          <w:tcPr>
            <w:tcW w:w="4257" w:type="dxa"/>
            <w:gridSpan w:val="2"/>
          </w:tcPr>
          <w:p w:rsidR="000B6001" w:rsidRDefault="001250BF" w:rsidP="004579E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B6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6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Местной администрации </w:t>
            </w:r>
          </w:p>
          <w:p w:rsidR="000B6001" w:rsidRDefault="000B6001" w:rsidP="004579E5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5670" w:type="dxa"/>
            <w:gridSpan w:val="3"/>
            <w:vAlign w:val="bottom"/>
          </w:tcPr>
          <w:p w:rsidR="000B6001" w:rsidRDefault="00FE466A" w:rsidP="004579E5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49B" w:rsidRDefault="00D7149B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49B" w:rsidRDefault="00D7149B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Местной администрации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</w:t>
      </w:r>
    </w:p>
    <w:p w:rsidR="001250BF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0BF">
        <w:rPr>
          <w:rFonts w:ascii="Times New Roman" w:hAnsi="Times New Roman" w:cs="Times New Roman"/>
          <w:color w:val="000000"/>
          <w:sz w:val="24"/>
          <w:szCs w:val="24"/>
        </w:rPr>
        <w:t xml:space="preserve">города федерального значения </w:t>
      </w:r>
      <w:r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</w:t>
      </w:r>
    </w:p>
    <w:p w:rsidR="00924D2B" w:rsidRPr="00924D2B" w:rsidRDefault="00924D2B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Васильевский</w:t>
      </w:r>
    </w:p>
    <w:p w:rsidR="00924D2B" w:rsidRPr="00924D2B" w:rsidRDefault="001250BF" w:rsidP="00924D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7149B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924D2B" w:rsidRPr="00924D2B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7149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24D2B" w:rsidRPr="00924D2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1087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4D2B" w:rsidRPr="00924D2B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0037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87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924D2B" w:rsidRPr="00924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D2B" w:rsidRPr="00924D2B" w:rsidRDefault="00924D2B" w:rsidP="00924D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24D2B" w:rsidRPr="00924D2B" w:rsidRDefault="00924D2B" w:rsidP="00924D2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Перечень, коды и структура целевых статей </w:t>
      </w: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расходов бюджета внутригородского муниципального </w:t>
      </w:r>
    </w:p>
    <w:p w:rsidR="001250BF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</w:t>
      </w:r>
      <w:r w:rsidR="001250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федерального значения </w:t>
      </w: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Санкт-Петербурга </w:t>
      </w:r>
    </w:p>
    <w:p w:rsidR="00924D2B" w:rsidRPr="00924D2B" w:rsidRDefault="00924D2B" w:rsidP="00924D2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муниципальный округ Васильевский </w:t>
      </w:r>
    </w:p>
    <w:p w:rsidR="00924D2B" w:rsidRPr="00924D2B" w:rsidRDefault="00924D2B" w:rsidP="00924D2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4849" w:type="pct"/>
        <w:jc w:val="center"/>
        <w:tblLook w:val="04A0" w:firstRow="1" w:lastRow="0" w:firstColumn="1" w:lastColumn="0" w:noHBand="0" w:noVBand="1"/>
      </w:tblPr>
      <w:tblGrid>
        <w:gridCol w:w="1694"/>
        <w:gridCol w:w="1644"/>
        <w:gridCol w:w="5976"/>
      </w:tblGrid>
      <w:tr w:rsidR="00924D2B" w:rsidRPr="00924D2B" w:rsidTr="009412C6">
        <w:trPr>
          <w:trHeight w:val="20"/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целевой статьи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программной статьи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 расходов</w:t>
            </w:r>
          </w:p>
        </w:tc>
        <w:tc>
          <w:tcPr>
            <w:tcW w:w="3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G0850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государственного полномочия по организации и осуществлению деятельности по опеке и </w:t>
            </w:r>
            <w:r w:rsidR="009412C6">
              <w:rPr>
                <w:rFonts w:ascii="Times New Roman" w:hAnsi="Times New Roman" w:cs="Times New Roman"/>
                <w:sz w:val="24"/>
                <w:szCs w:val="24"/>
              </w:rPr>
              <w:t>попечительству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главы муниципального образования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представительного органа муниципальных образований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B445DE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00023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местной администрации (исполнительно-распорядительного) муниципальных образований</w:t>
            </w:r>
          </w:p>
        </w:tc>
      </w:tr>
      <w:tr w:rsidR="00924D2B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B" w:rsidRPr="00924D2B" w:rsidRDefault="00924D2B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00031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D2B" w:rsidRPr="00924D2B" w:rsidRDefault="00924D2B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учреждений, подведомственных органам местного самоуправления, осуществляющих руководство и управление в сфере жилищно-коммунального хозяйства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07001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местной администрации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G0100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государственного полномочия по составлению протоколов об административных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равонарушениях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09202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00440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50501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D5D3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00231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2169AD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пенсии за выслугу лет лицам, замещающим муниципальные должности муниципальной службы в органах местного самоуправления, муниципальных образований</w:t>
            </w:r>
          </w:p>
        </w:tc>
      </w:tr>
      <w:tr w:rsidR="00FD5D3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3A" w:rsidRPr="00924D2B" w:rsidRDefault="00FD5D3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3A" w:rsidRPr="00924D2B" w:rsidRDefault="00FD5D3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00232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3A" w:rsidRPr="00924D2B" w:rsidRDefault="002169AD" w:rsidP="002169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ежемесячной доплаты к пенсии лицам, замещающим муниципальные должности муниципальной службы в органах местного самоуправления, муниципальных образований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лнение государственного полномочия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по выплате денежных средств на содержание ребенка в семье опекуна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приемной семье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G0870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государственного полномочия по выплате денежных средств на вознаграждение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мным родителям за счет субвенции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Реализация функций, связанных с общегосударственным управлением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Формирование архивного фонда органов местного самоуправления, муниципальных предприятий и учреждений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00074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защиты прав потребителей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00090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00101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финансировании проведения оплачиваемых общественных работ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00102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малого бизнеса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муниципального образования в соответствии с законодательством в сфере благоустройства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Обеспечение проектирования благоустройства при размещении элементов благоустройства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00133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дорожек,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00153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79509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00154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00171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00172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00181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образования и дополнительного профессионального образования 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79512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3F5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BD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сохранению и развитию местных традиций и обрядов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00241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00251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00490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00510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79519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00520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79520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00530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установленном порядке в мероприятиях по профилактике незаконного потребления наркотических средств и психотропных веществ, наркомании в Санкт-Петербурге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79522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00560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досуговых мероприятий для жителей муниципального образования</w:t>
            </w:r>
          </w:p>
        </w:tc>
      </w:tr>
      <w:tr w:rsidR="00FA322A" w:rsidRPr="00924D2B" w:rsidTr="009412C6">
        <w:trPr>
          <w:trHeight w:val="20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79523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00570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sz w:val="24"/>
                <w:szCs w:val="24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сохранения и развития языков культуры народов Российской Федерации, проживающих на территории муниципального образования, социально и культурную адаптацию мигрантов, профилактику межнациональных (межэтнических) конфликтов</w:t>
            </w:r>
          </w:p>
        </w:tc>
      </w:tr>
      <w:tr w:rsidR="00FA322A" w:rsidRPr="00924D2B" w:rsidTr="009412C6">
        <w:trPr>
          <w:trHeight w:val="171"/>
          <w:jc w:val="center"/>
        </w:trPr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A" w:rsidRPr="00924D2B" w:rsidRDefault="00FA322A" w:rsidP="00924D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3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22A" w:rsidRPr="00924D2B" w:rsidRDefault="00FA322A" w:rsidP="00924D2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</w:tr>
    </w:tbl>
    <w:p w:rsidR="00924D2B" w:rsidRPr="00A62C38" w:rsidRDefault="00924D2B" w:rsidP="00924D2B">
      <w:pPr>
        <w:ind w:firstLine="709"/>
        <w:jc w:val="center"/>
        <w:rPr>
          <w:b/>
          <w:color w:val="000000"/>
        </w:rPr>
      </w:pPr>
    </w:p>
    <w:p w:rsidR="00924D2B" w:rsidRDefault="00924D2B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787" w:rsidRPr="00333787" w:rsidRDefault="00333787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787" w:rsidRPr="00333787" w:rsidSect="00333787">
      <w:headerReference w:type="default" r:id="rId7"/>
      <w:headerReference w:type="first" r:id="rId8"/>
      <w:pgSz w:w="11900" w:h="16838"/>
      <w:pgMar w:top="1258" w:right="846" w:bottom="738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D9" w:rsidRDefault="00142FD9" w:rsidP="004C2EC5">
      <w:pPr>
        <w:spacing w:after="0" w:line="240" w:lineRule="auto"/>
      </w:pPr>
      <w:r>
        <w:separator/>
      </w:r>
    </w:p>
  </w:endnote>
  <w:endnote w:type="continuationSeparator" w:id="0">
    <w:p w:rsidR="00142FD9" w:rsidRDefault="00142FD9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D9" w:rsidRDefault="00142FD9" w:rsidP="004C2EC5">
      <w:pPr>
        <w:spacing w:after="0" w:line="240" w:lineRule="auto"/>
      </w:pPr>
      <w:r>
        <w:separator/>
      </w:r>
    </w:p>
  </w:footnote>
  <w:footnote w:type="continuationSeparator" w:id="0">
    <w:p w:rsidR="00142FD9" w:rsidRDefault="00142FD9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3787" w:rsidRPr="00333787" w:rsidRDefault="003337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737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3787" w:rsidRPr="00333787" w:rsidRDefault="00333787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87" w:rsidRDefault="00333787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49775B15" wp14:editId="02EE11C5">
          <wp:extent cx="628650" cy="742950"/>
          <wp:effectExtent l="0" t="0" r="0" b="0"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:rsidR="00C747C0" w:rsidRDefault="00C747C0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</w:p>
  <w:p w:rsidR="00333787" w:rsidRPr="00951CFA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:rsidR="00333787" w:rsidRDefault="00333787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:rsidR="00333787" w:rsidRDefault="00142FD9" w:rsidP="00333787">
    <w:pPr>
      <w:pStyle w:val="a6"/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2107"/>
    <w:multiLevelType w:val="hybridMultilevel"/>
    <w:tmpl w:val="5B44DB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03750"/>
    <w:rsid w:val="00010871"/>
    <w:rsid w:val="000B6001"/>
    <w:rsid w:val="001250BF"/>
    <w:rsid w:val="00142FD9"/>
    <w:rsid w:val="00162571"/>
    <w:rsid w:val="001A52B1"/>
    <w:rsid w:val="002169AD"/>
    <w:rsid w:val="002C695B"/>
    <w:rsid w:val="00333787"/>
    <w:rsid w:val="003509DE"/>
    <w:rsid w:val="003D7CA5"/>
    <w:rsid w:val="00402321"/>
    <w:rsid w:val="00447375"/>
    <w:rsid w:val="004C2EC5"/>
    <w:rsid w:val="006447AE"/>
    <w:rsid w:val="00645A2E"/>
    <w:rsid w:val="007A16AF"/>
    <w:rsid w:val="007D0250"/>
    <w:rsid w:val="00825FA8"/>
    <w:rsid w:val="008F33BD"/>
    <w:rsid w:val="00924D2B"/>
    <w:rsid w:val="009412C6"/>
    <w:rsid w:val="00AB73D0"/>
    <w:rsid w:val="00AF0BC3"/>
    <w:rsid w:val="00B445DE"/>
    <w:rsid w:val="00B60C4A"/>
    <w:rsid w:val="00C747C0"/>
    <w:rsid w:val="00CA2F5B"/>
    <w:rsid w:val="00D07788"/>
    <w:rsid w:val="00D7149B"/>
    <w:rsid w:val="00D90D65"/>
    <w:rsid w:val="00E2523A"/>
    <w:rsid w:val="00EF4DBA"/>
    <w:rsid w:val="00EF4ED4"/>
    <w:rsid w:val="00FA322A"/>
    <w:rsid w:val="00FC0F17"/>
    <w:rsid w:val="00FD5D3A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023BE-7EA4-4648-AA46-778D902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0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 IA</cp:lastModifiedBy>
  <cp:revision>5</cp:revision>
  <dcterms:created xsi:type="dcterms:W3CDTF">2026-03-27T08:11:00Z</dcterms:created>
  <dcterms:modified xsi:type="dcterms:W3CDTF">2026-03-27T08:25:00Z</dcterms:modified>
</cp:coreProperties>
</file>